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B524" w14:textId="3DFF3E2A" w:rsidR="00D133E4" w:rsidRDefault="0058372F" w:rsidP="002B6E27">
      <w:pPr>
        <w:pStyle w:val="Heading1"/>
        <w:numPr>
          <w:ilvl w:val="0"/>
          <w:numId w:val="0"/>
        </w:numPr>
        <w:jc w:val="both"/>
      </w:pPr>
      <w:bookmarkStart w:id="0" w:name="_Toc80784920"/>
      <w:r>
        <w:t>Transition &amp; Operational Readiness</w:t>
      </w:r>
      <w:r w:rsidR="00F04ADA">
        <w:t xml:space="preserve"> Working</w:t>
      </w:r>
      <w:r w:rsidR="00D133E4">
        <w:t xml:space="preserve"> Group (</w:t>
      </w:r>
      <w:r>
        <w:t>TORWG</w:t>
      </w:r>
      <w:r w:rsidR="00D133E4" w:rsidRPr="00745B8E">
        <w:t>) Terms of Reference</w:t>
      </w:r>
      <w:r w:rsidR="00F04ADA">
        <w:t xml:space="preserve"> (Level 4</w:t>
      </w:r>
      <w:r w:rsidR="00A82A09">
        <w:t xml:space="preserve"> Working Group</w:t>
      </w:r>
      <w:r w:rsidR="00D133E4">
        <w:t>)</w:t>
      </w:r>
      <w:bookmarkEnd w:id="0"/>
    </w:p>
    <w:p w14:paraId="6F9D0443" w14:textId="29A67B70" w:rsidR="00D133E4" w:rsidRPr="00745B8E" w:rsidRDefault="00D133E4" w:rsidP="002B6E27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 w:rsidR="0058372F">
        <w:t>TORWG</w:t>
      </w:r>
      <w:r w:rsidRPr="009C075A">
        <w:t xml:space="preserve"> Terms of Reference (“ToR”) sets out the role, membership and mode of operation.  </w:t>
      </w:r>
    </w:p>
    <w:p w14:paraId="75B9648A" w14:textId="39E0433A" w:rsidR="00D133E4" w:rsidRPr="00D74633" w:rsidRDefault="00603DD7" w:rsidP="002B6E27">
      <w:pPr>
        <w:pStyle w:val="Heading2"/>
        <w:jc w:val="both"/>
      </w:pPr>
      <w:bookmarkStart w:id="1" w:name="_Toc80784921"/>
      <w:r>
        <w:t>TORWG</w:t>
      </w:r>
      <w:r w:rsidR="00D133E4">
        <w:t xml:space="preserve"> </w:t>
      </w:r>
      <w:bookmarkEnd w:id="1"/>
      <w:r w:rsidR="0017261D">
        <w:t>Role</w:t>
      </w:r>
    </w:p>
    <w:p w14:paraId="3A434279" w14:textId="7398B598" w:rsidR="00411083" w:rsidRDefault="000C4CE0" w:rsidP="00411083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03DD7">
        <w:t>TORWG</w:t>
      </w:r>
      <w:r w:rsidR="00411083">
        <w:t xml:space="preserve"> is established as a working group under the auspices of the MHHS Testing </w:t>
      </w:r>
      <w:r w:rsidR="000321A9">
        <w:t xml:space="preserve">and Migration </w:t>
      </w:r>
      <w:r w:rsidR="00411083">
        <w:t>Advisory Group</w:t>
      </w:r>
      <w:r w:rsidR="009618C0">
        <w:t xml:space="preserve"> (TMAG)</w:t>
      </w:r>
      <w:r w:rsidR="00411083">
        <w:t>.</w:t>
      </w:r>
    </w:p>
    <w:p w14:paraId="26D266A3" w14:textId="6701B430" w:rsidR="008846B2" w:rsidRDefault="00D133E4" w:rsidP="002B1DEC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03DD7">
        <w:t>TORWG</w:t>
      </w:r>
      <w:r>
        <w:t>’s role i</w:t>
      </w:r>
      <w:r w:rsidR="004028C6">
        <w:t>s to</w:t>
      </w:r>
      <w:r w:rsidR="00820A70">
        <w:t>:</w:t>
      </w:r>
    </w:p>
    <w:p w14:paraId="49AD4D80" w14:textId="0518218D" w:rsidR="00B91D65" w:rsidRDefault="00994355" w:rsidP="008846B2">
      <w:pPr>
        <w:pStyle w:val="List2"/>
        <w:numPr>
          <w:ilvl w:val="0"/>
          <w:numId w:val="19"/>
        </w:numPr>
        <w:jc w:val="both"/>
      </w:pPr>
      <w:r>
        <w:t xml:space="preserve">Act as a home for the discussion of </w:t>
      </w:r>
      <w:r w:rsidR="00802EEB">
        <w:t xml:space="preserve">all </w:t>
      </w:r>
      <w:r w:rsidR="003A2D06">
        <w:t xml:space="preserve">MHHS </w:t>
      </w:r>
      <w:r w:rsidR="00802EEB">
        <w:t xml:space="preserve">transition and operational readiness-related items going forwards. </w:t>
      </w:r>
    </w:p>
    <w:p w14:paraId="0194781A" w14:textId="6FDA7538" w:rsidR="000E182D" w:rsidRDefault="000E182D" w:rsidP="008846B2">
      <w:pPr>
        <w:pStyle w:val="List2"/>
        <w:numPr>
          <w:ilvl w:val="0"/>
          <w:numId w:val="19"/>
        </w:numPr>
        <w:jc w:val="both"/>
      </w:pPr>
      <w:r>
        <w:t xml:space="preserve">Facilitate discussion and </w:t>
      </w:r>
      <w:r w:rsidR="004D06D0">
        <w:t>strive for</w:t>
      </w:r>
      <w:r w:rsidR="003A58EE">
        <w:t xml:space="preserve"> consensus</w:t>
      </w:r>
      <w:r w:rsidR="004D06D0">
        <w:t xml:space="preserve"> on </w:t>
      </w:r>
      <w:r w:rsidR="003A2D06">
        <w:t xml:space="preserve">transition and operational readiness </w:t>
      </w:r>
      <w:r w:rsidR="004D06D0">
        <w:t>discussion items to inform</w:t>
      </w:r>
      <w:r w:rsidR="003A58EE">
        <w:t xml:space="preserve"> </w:t>
      </w:r>
      <w:r w:rsidR="00282DAE">
        <w:t xml:space="preserve">the development of documents </w:t>
      </w:r>
      <w:r w:rsidR="003153D5">
        <w:t xml:space="preserve">(e.g. MHHS Service Management Strategy, </w:t>
      </w:r>
      <w:r w:rsidR="00C63530">
        <w:t xml:space="preserve">Cutover Plan etc.) </w:t>
      </w:r>
      <w:r w:rsidR="004D06D0">
        <w:t xml:space="preserve">that will shape </w:t>
      </w:r>
      <w:r w:rsidR="0076737B">
        <w:t xml:space="preserve">and define </w:t>
      </w:r>
      <w:r w:rsidR="005D6945">
        <w:t xml:space="preserve">key activities and milestones </w:t>
      </w:r>
      <w:r w:rsidR="00E313B9">
        <w:t xml:space="preserve">across the transition period. </w:t>
      </w:r>
    </w:p>
    <w:p w14:paraId="5FF8D6EA" w14:textId="3381D535" w:rsidR="00C4443E" w:rsidRDefault="00C4443E" w:rsidP="008846B2">
      <w:pPr>
        <w:pStyle w:val="List2"/>
        <w:numPr>
          <w:ilvl w:val="0"/>
          <w:numId w:val="19"/>
        </w:numPr>
        <w:jc w:val="both"/>
      </w:pPr>
      <w:r>
        <w:t>Escalate any</w:t>
      </w:r>
      <w:r w:rsidR="00330405">
        <w:t xml:space="preserve"> major</w:t>
      </w:r>
      <w:r>
        <w:t xml:space="preserve"> </w:t>
      </w:r>
      <w:r w:rsidR="003A58EE">
        <w:t xml:space="preserve">transition and operational readiness-related </w:t>
      </w:r>
      <w:r w:rsidR="00330405">
        <w:t>risks, issues</w:t>
      </w:r>
      <w:r w:rsidR="00D870CF">
        <w:t xml:space="preserve"> and /</w:t>
      </w:r>
      <w:r w:rsidR="00330405">
        <w:t xml:space="preserve"> or </w:t>
      </w:r>
      <w:r>
        <w:t xml:space="preserve">concerns to TMAG. </w:t>
      </w:r>
    </w:p>
    <w:p w14:paraId="6F880661" w14:textId="5FF8090D" w:rsidR="00820A70" w:rsidRDefault="00820A70" w:rsidP="00820A70">
      <w:pPr>
        <w:pStyle w:val="List2"/>
        <w:numPr>
          <w:ilvl w:val="0"/>
          <w:numId w:val="0"/>
        </w:numPr>
        <w:ind w:left="680" w:hanging="680"/>
        <w:jc w:val="both"/>
      </w:pPr>
      <w:r>
        <w:t xml:space="preserve">Note that it is not the role of the </w:t>
      </w:r>
      <w:r w:rsidR="00603DD7">
        <w:t>TORWG</w:t>
      </w:r>
      <w:r>
        <w:t xml:space="preserve"> to:</w:t>
      </w:r>
    </w:p>
    <w:p w14:paraId="6034B7F2" w14:textId="0EDCFDC9" w:rsidR="00820A70" w:rsidRDefault="006118F3">
      <w:pPr>
        <w:pStyle w:val="List2"/>
        <w:numPr>
          <w:ilvl w:val="0"/>
          <w:numId w:val="23"/>
        </w:numPr>
        <w:jc w:val="both"/>
      </w:pPr>
      <w:r>
        <w:t xml:space="preserve">Discuss any </w:t>
      </w:r>
      <w:r w:rsidR="000B7756">
        <w:t>m</w:t>
      </w:r>
      <w:r>
        <w:t xml:space="preserve">igration-specific topics (e.g. </w:t>
      </w:r>
      <w:r w:rsidR="000B7756">
        <w:t>m</w:t>
      </w:r>
      <w:r w:rsidR="007A1BDF">
        <w:t>igration planning</w:t>
      </w:r>
      <w:r w:rsidR="0083018F">
        <w:t>, or Migration Control Centre (MCC) development</w:t>
      </w:r>
      <w:r w:rsidR="007A1BDF">
        <w:t>)</w:t>
      </w:r>
      <w:r w:rsidR="00272890">
        <w:t>. These discussions will be held</w:t>
      </w:r>
      <w:r w:rsidR="00E13A8B">
        <w:t xml:space="preserve"> in the Migration Working Group (MWG) instead. </w:t>
      </w:r>
    </w:p>
    <w:p w14:paraId="25DDAF04" w14:textId="4B599A2E" w:rsidR="00686D22" w:rsidRPr="00697B3D" w:rsidRDefault="002B2173" w:rsidP="002B6E27">
      <w:pPr>
        <w:pStyle w:val="Heading2"/>
        <w:jc w:val="both"/>
      </w:pPr>
      <w:r>
        <w:t>TORWG Objectives</w:t>
      </w:r>
    </w:p>
    <w:p w14:paraId="78A1D542" w14:textId="6E79B4FA" w:rsidR="00F71706" w:rsidRDefault="00F94486" w:rsidP="00B91D65">
      <w:pPr>
        <w:pStyle w:val="List2"/>
        <w:numPr>
          <w:ilvl w:val="0"/>
          <w:numId w:val="0"/>
        </w:numPr>
        <w:jc w:val="both"/>
      </w:pPr>
      <w:r>
        <w:t xml:space="preserve">The TORWG’s primary objective is to </w:t>
      </w:r>
      <w:r w:rsidR="009E3893">
        <w:t xml:space="preserve">act </w:t>
      </w:r>
      <w:r w:rsidR="00F71706" w:rsidRPr="00F71706">
        <w:t xml:space="preserve">as a home for the discussion of all </w:t>
      </w:r>
      <w:r w:rsidR="00C5236D">
        <w:t xml:space="preserve">MHHS </w:t>
      </w:r>
      <w:r w:rsidR="00F71706" w:rsidRPr="00F71706">
        <w:t>transition and operational readiness-related items going forwards.</w:t>
      </w:r>
      <w:r w:rsidR="00C5236D">
        <w:t xml:space="preserve"> Currently these topics do not have an obvious home within the </w:t>
      </w:r>
      <w:r w:rsidR="003838EA">
        <w:t xml:space="preserve">existing </w:t>
      </w:r>
      <w:r w:rsidR="00C5236D">
        <w:t xml:space="preserve">MHHS governance structure. </w:t>
      </w:r>
    </w:p>
    <w:p w14:paraId="3F364705" w14:textId="78EBFDBF" w:rsidR="00541845" w:rsidRDefault="00BA2010" w:rsidP="00B91D65">
      <w:pPr>
        <w:pStyle w:val="List2"/>
        <w:numPr>
          <w:ilvl w:val="0"/>
          <w:numId w:val="0"/>
        </w:numPr>
        <w:jc w:val="both"/>
      </w:pPr>
      <w:r>
        <w:t>A</w:t>
      </w:r>
      <w:r w:rsidR="005A3590">
        <w:t xml:space="preserve">nother </w:t>
      </w:r>
      <w:r>
        <w:t>objective for the TORWG is to</w:t>
      </w:r>
      <w:r w:rsidR="00541845">
        <w:t xml:space="preserve"> facilitate discussion </w:t>
      </w:r>
      <w:r w:rsidR="000015F5">
        <w:t xml:space="preserve">on </w:t>
      </w:r>
      <w:r w:rsidR="000015F5" w:rsidRPr="00F71706">
        <w:t>transition and operational readiness-related items</w:t>
      </w:r>
      <w:r w:rsidR="000015F5">
        <w:t xml:space="preserve"> to inform the development of documents that will shape </w:t>
      </w:r>
      <w:r w:rsidR="0076737B">
        <w:t>and define key activities and milestones across the transition period.</w:t>
      </w:r>
    </w:p>
    <w:p w14:paraId="14137787" w14:textId="681A0E06" w:rsidR="00BA2010" w:rsidRDefault="0076737B" w:rsidP="00B91D65">
      <w:pPr>
        <w:pStyle w:val="List2"/>
        <w:numPr>
          <w:ilvl w:val="0"/>
          <w:numId w:val="0"/>
        </w:numPr>
        <w:jc w:val="both"/>
      </w:pPr>
      <w:r>
        <w:t xml:space="preserve">The definition of these activities and milestones will </w:t>
      </w:r>
      <w:r w:rsidR="008319E4">
        <w:t>introduce</w:t>
      </w:r>
      <w:r>
        <w:t xml:space="preserve"> </w:t>
      </w:r>
      <w:r w:rsidR="00BA2010">
        <w:t>certainty for Programme participants</w:t>
      </w:r>
      <w:r w:rsidR="00523470">
        <w:t xml:space="preserve"> around </w:t>
      </w:r>
      <w:r w:rsidR="00F62D0C">
        <w:t xml:space="preserve">the expected shape of the transition </w:t>
      </w:r>
      <w:r w:rsidR="00D91D45">
        <w:t>period and</w:t>
      </w:r>
      <w:r w:rsidR="00523470">
        <w:t xml:space="preserve"> </w:t>
      </w:r>
      <w:r w:rsidR="0013198D">
        <w:t xml:space="preserve">will </w:t>
      </w:r>
      <w:r w:rsidR="00523470">
        <w:t xml:space="preserve">also </w:t>
      </w:r>
      <w:r w:rsidR="00D91D45">
        <w:t>bring</w:t>
      </w:r>
      <w:r w:rsidR="0013198D">
        <w:t xml:space="preserve"> certainty around the expectations and obligations </w:t>
      </w:r>
      <w:r w:rsidR="00D91D45">
        <w:t>on</w:t>
      </w:r>
      <w:r w:rsidR="0013198D">
        <w:t xml:space="preserve"> Programme participants</w:t>
      </w:r>
      <w:r w:rsidR="00523470">
        <w:t xml:space="preserve"> across the transition period.</w:t>
      </w:r>
    </w:p>
    <w:p w14:paraId="560704B3" w14:textId="081230A7" w:rsidR="00686D22" w:rsidRPr="00697B3D" w:rsidRDefault="00813546" w:rsidP="002B6E27">
      <w:pPr>
        <w:pStyle w:val="Heading2"/>
        <w:jc w:val="both"/>
      </w:pPr>
      <w:r>
        <w:t>Decision</w:t>
      </w:r>
      <w:r w:rsidR="008B6514">
        <w:t>-</w:t>
      </w:r>
      <w:r>
        <w:t>Making</w:t>
      </w:r>
    </w:p>
    <w:p w14:paraId="0FD61D40" w14:textId="77777777" w:rsidR="00791F87" w:rsidRDefault="000C4CE0" w:rsidP="002B6E27">
      <w:pPr>
        <w:pStyle w:val="List4"/>
        <w:numPr>
          <w:ilvl w:val="0"/>
          <w:numId w:val="0"/>
        </w:numPr>
        <w:jc w:val="both"/>
      </w:pPr>
      <w:r>
        <w:t xml:space="preserve">The </w:t>
      </w:r>
      <w:r w:rsidR="00603DD7">
        <w:t>TORWG</w:t>
      </w:r>
      <w:r w:rsidR="00E20561">
        <w:t xml:space="preserve"> </w:t>
      </w:r>
      <w:r w:rsidR="00B04621">
        <w:t xml:space="preserve">has no formal </w:t>
      </w:r>
      <w:r w:rsidR="008B6514">
        <w:t>decision-making</w:t>
      </w:r>
      <w:r w:rsidR="00B04621">
        <w:t xml:space="preserve"> powers. Instead, </w:t>
      </w:r>
      <w:r w:rsidR="00791F87">
        <w:t xml:space="preserve">the Programme will use TORWG meetings to strive to reach consensus on areas of discussion and final outputs will be reported up to the </w:t>
      </w:r>
      <w:r w:rsidR="00E20561">
        <w:t>T</w:t>
      </w:r>
      <w:r w:rsidR="000321A9">
        <w:t>M</w:t>
      </w:r>
      <w:r w:rsidR="00E20561">
        <w:t xml:space="preserve">AG for approval. </w:t>
      </w:r>
    </w:p>
    <w:p w14:paraId="4D8A37F6" w14:textId="242CCC63" w:rsidR="00686D22" w:rsidRDefault="00E20561" w:rsidP="002B6E27">
      <w:pPr>
        <w:pStyle w:val="List4"/>
        <w:numPr>
          <w:ilvl w:val="0"/>
          <w:numId w:val="0"/>
        </w:numPr>
        <w:jc w:val="both"/>
      </w:pPr>
      <w:r>
        <w:t xml:space="preserve">This will occur on an ongoing basis and may require engagement with </w:t>
      </w:r>
      <w:r w:rsidR="00DC3701">
        <w:t xml:space="preserve">other </w:t>
      </w:r>
      <w:r w:rsidR="009D2754">
        <w:t>P</w:t>
      </w:r>
      <w:r w:rsidR="00DC3701">
        <w:t>rogramme participants</w:t>
      </w:r>
      <w:r w:rsidR="000C4CE0">
        <w:t xml:space="preserve">. Where the </w:t>
      </w:r>
      <w:r w:rsidR="00603DD7">
        <w:t>TORWG</w:t>
      </w:r>
      <w:r>
        <w:t xml:space="preserve"> is unable to reach a consensus on a decision delegated to them by T</w:t>
      </w:r>
      <w:r w:rsidR="000321A9">
        <w:t>M</w:t>
      </w:r>
      <w:r>
        <w:t>AG</w:t>
      </w:r>
      <w:r w:rsidR="009D2754">
        <w:t>,</w:t>
      </w:r>
      <w:r>
        <w:t xml:space="preserve"> the matter will be escalated to the T</w:t>
      </w:r>
      <w:r w:rsidR="000321A9">
        <w:t>M</w:t>
      </w:r>
      <w:r>
        <w:t>AG</w:t>
      </w:r>
      <w:r w:rsidR="00211238">
        <w:t>.</w:t>
      </w:r>
    </w:p>
    <w:p w14:paraId="4A91B9A0" w14:textId="5C3A933F" w:rsidR="00686D22" w:rsidRPr="00697B3D" w:rsidRDefault="00813546" w:rsidP="002B6E27">
      <w:pPr>
        <w:pStyle w:val="Heading2"/>
        <w:jc w:val="both"/>
      </w:pPr>
      <w:r>
        <w:t>Membership</w:t>
      </w:r>
    </w:p>
    <w:p w14:paraId="13756F8E" w14:textId="04339E31" w:rsidR="00E20561" w:rsidRDefault="00E20561" w:rsidP="00041A20">
      <w:pPr>
        <w:pStyle w:val="List2"/>
        <w:numPr>
          <w:ilvl w:val="0"/>
          <w:numId w:val="24"/>
        </w:numPr>
        <w:jc w:val="both"/>
      </w:pPr>
      <w:r>
        <w:t xml:space="preserve">MHHS </w:t>
      </w:r>
      <w:r w:rsidR="00041A20">
        <w:t>Transition &amp; Operational Readiness</w:t>
      </w:r>
      <w:r w:rsidR="00121EBC">
        <w:t xml:space="preserve"> Lead</w:t>
      </w:r>
      <w:r w:rsidR="00C432A6" w:rsidRPr="00C432A6">
        <w:t xml:space="preserve"> </w:t>
      </w:r>
      <w:r w:rsidR="00942E21">
        <w:t>(Chair)</w:t>
      </w:r>
      <w:r w:rsidR="00041A20">
        <w:t>;</w:t>
      </w:r>
    </w:p>
    <w:p w14:paraId="319EF16C" w14:textId="7EBF63B3" w:rsidR="00E20561" w:rsidRDefault="00041A20" w:rsidP="00041A20">
      <w:pPr>
        <w:pStyle w:val="List2"/>
        <w:numPr>
          <w:ilvl w:val="0"/>
          <w:numId w:val="24"/>
        </w:numPr>
        <w:jc w:val="both"/>
      </w:pPr>
      <w:r>
        <w:t>MHHS Transition &amp; Operational Readiness</w:t>
      </w:r>
      <w:r w:rsidR="00121EBC">
        <w:t xml:space="preserve"> Business Analysts</w:t>
      </w:r>
      <w:r w:rsidR="0004222E">
        <w:t>;</w:t>
      </w:r>
    </w:p>
    <w:p w14:paraId="7A66BA7A" w14:textId="0C6F4B50" w:rsidR="00211238" w:rsidRDefault="00211238" w:rsidP="00041A20">
      <w:pPr>
        <w:pStyle w:val="List2"/>
        <w:numPr>
          <w:ilvl w:val="0"/>
          <w:numId w:val="24"/>
        </w:numPr>
        <w:jc w:val="both"/>
      </w:pPr>
      <w:r>
        <w:t>MHHS Programme Management Office (PMO)</w:t>
      </w:r>
      <w:r w:rsidR="0004222E">
        <w:t>;</w:t>
      </w:r>
    </w:p>
    <w:p w14:paraId="7E764443" w14:textId="32DF726D" w:rsidR="0004222E" w:rsidRDefault="0004222E" w:rsidP="00041A20">
      <w:pPr>
        <w:pStyle w:val="List2"/>
        <w:numPr>
          <w:ilvl w:val="0"/>
          <w:numId w:val="24"/>
        </w:numPr>
        <w:jc w:val="both"/>
      </w:pPr>
      <w:r>
        <w:t>MHHS Programme Participants.</w:t>
      </w:r>
    </w:p>
    <w:p w14:paraId="0D626DBF" w14:textId="7BECCC82" w:rsidR="00686D22" w:rsidRDefault="000C4CE0" w:rsidP="006610CA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03DD7">
        <w:t>TORWG</w:t>
      </w:r>
      <w:r>
        <w:t xml:space="preserve"> meeting is open to all </w:t>
      </w:r>
      <w:r w:rsidR="000306D2">
        <w:t xml:space="preserve">Programme participants. </w:t>
      </w:r>
      <w:r w:rsidR="00603DD7">
        <w:t>TORWG</w:t>
      </w:r>
      <w:r w:rsidR="0020387C" w:rsidRPr="00666ED8">
        <w:t xml:space="preserve"> </w:t>
      </w:r>
      <w:r w:rsidR="0076006F">
        <w:t>attendees</w:t>
      </w:r>
      <w:r w:rsidR="0076006F" w:rsidRPr="00666ED8">
        <w:t xml:space="preserve"> </w:t>
      </w:r>
      <w:r>
        <w:t xml:space="preserve">should </w:t>
      </w:r>
      <w:r w:rsidR="00F94B63">
        <w:t xml:space="preserve">be </w:t>
      </w:r>
      <w:r w:rsidR="00942E21" w:rsidRPr="00666ED8">
        <w:t>industry subject matter expert</w:t>
      </w:r>
      <w:r w:rsidR="006610CA">
        <w:t xml:space="preserve">s or have expertise in the areas of transition and / or operational readiness. </w:t>
      </w:r>
    </w:p>
    <w:p w14:paraId="410D510E" w14:textId="3F94FF63" w:rsidR="00686D22" w:rsidRDefault="004C4983" w:rsidP="002B6E27">
      <w:pPr>
        <w:pStyle w:val="Heading2"/>
        <w:jc w:val="both"/>
      </w:pPr>
      <w:r>
        <w:t>Member</w:t>
      </w:r>
      <w:r w:rsidR="00813546">
        <w:t xml:space="preserve"> Roles and Responsibilities</w:t>
      </w:r>
    </w:p>
    <w:p w14:paraId="7A04B287" w14:textId="3529C9E3" w:rsidR="00C80A86" w:rsidRDefault="00C80A86" w:rsidP="00A2110F">
      <w:pPr>
        <w:pStyle w:val="List2"/>
        <w:numPr>
          <w:ilvl w:val="0"/>
          <w:numId w:val="26"/>
        </w:numPr>
        <w:jc w:val="both"/>
      </w:pPr>
      <w:r w:rsidRPr="002F262C">
        <w:t xml:space="preserve">The </w:t>
      </w:r>
      <w:r w:rsidR="00A2110F">
        <w:t>MHHS Transition &amp; Operational Readiness Lead</w:t>
      </w:r>
      <w:r w:rsidR="00A2110F" w:rsidRPr="00C432A6">
        <w:t xml:space="preserve"> </w:t>
      </w:r>
      <w:r w:rsidRPr="002F262C">
        <w:t>will chair meetings.</w:t>
      </w:r>
    </w:p>
    <w:p w14:paraId="7AA2BE37" w14:textId="7F08A335" w:rsidR="00C80A86" w:rsidRDefault="00C80A86" w:rsidP="00A2110F">
      <w:pPr>
        <w:pStyle w:val="List2"/>
        <w:numPr>
          <w:ilvl w:val="0"/>
          <w:numId w:val="26"/>
        </w:numPr>
        <w:jc w:val="both"/>
      </w:pPr>
      <w:r>
        <w:t xml:space="preserve">The </w:t>
      </w:r>
      <w:r w:rsidR="003C7993">
        <w:t xml:space="preserve">MHHS PMO </w:t>
      </w:r>
      <w:r>
        <w:t>Secretariat will provide all meeting management services and deliver all regular and ad</w:t>
      </w:r>
      <w:r w:rsidR="00A2110F">
        <w:t>-</w:t>
      </w:r>
      <w:r>
        <w:t xml:space="preserve">hoc meetings. </w:t>
      </w:r>
    </w:p>
    <w:p w14:paraId="6D7AC5C9" w14:textId="2C819FFB" w:rsidR="00594568" w:rsidRPr="00594568" w:rsidRDefault="00594568" w:rsidP="00594568">
      <w:pPr>
        <w:pStyle w:val="ListParagraph"/>
        <w:numPr>
          <w:ilvl w:val="0"/>
          <w:numId w:val="26"/>
        </w:numPr>
        <w:rPr>
          <w:rFonts w:ascii="Arial" w:eastAsiaTheme="minorHAnsi" w:hAnsi="Arial" w:cs="Arial"/>
          <w:color w:val="000000"/>
          <w:szCs w:val="18"/>
        </w:rPr>
      </w:pPr>
      <w:r>
        <w:rPr>
          <w:rFonts w:ascii="Arial" w:eastAsiaTheme="minorHAnsi" w:hAnsi="Arial" w:cs="Arial"/>
          <w:color w:val="000000"/>
          <w:szCs w:val="18"/>
        </w:rPr>
        <w:t>TORWG</w:t>
      </w:r>
      <w:r w:rsidRPr="00594568">
        <w:rPr>
          <w:rFonts w:ascii="Arial" w:eastAsiaTheme="minorHAnsi" w:hAnsi="Arial" w:cs="Arial"/>
          <w:color w:val="000000"/>
          <w:szCs w:val="18"/>
        </w:rPr>
        <w:t xml:space="preserve"> attendees will review relevant papers and actions prior to meetings and will attend meetings with relevant updates or discussion points.</w:t>
      </w:r>
    </w:p>
    <w:p w14:paraId="1471B46C" w14:textId="4C01CBCA" w:rsidR="00686D22" w:rsidRPr="00C85847" w:rsidRDefault="00603DD7" w:rsidP="00C45CC5">
      <w:pPr>
        <w:pStyle w:val="List2"/>
        <w:numPr>
          <w:ilvl w:val="0"/>
          <w:numId w:val="26"/>
        </w:numPr>
        <w:jc w:val="both"/>
      </w:pPr>
      <w:r>
        <w:t>TORWG</w:t>
      </w:r>
      <w:r w:rsidR="00C80A86">
        <w:t xml:space="preserve"> members will be expected to actively contribute to the development and review of collateral </w:t>
      </w:r>
      <w:r w:rsidR="002E4DAE">
        <w:t>and</w:t>
      </w:r>
      <w:r w:rsidR="00C80A86">
        <w:t xml:space="preserve"> this is likely to include completing tasks and actions outside of the </w:t>
      </w:r>
      <w:r>
        <w:t>TORWG</w:t>
      </w:r>
      <w:r w:rsidR="00C45CC5">
        <w:t xml:space="preserve"> meetings. </w:t>
      </w:r>
    </w:p>
    <w:sectPr w:rsidR="00686D22" w:rsidRPr="00C85847" w:rsidSect="001106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851F" w14:textId="77777777" w:rsidR="001106F0" w:rsidRDefault="001106F0" w:rsidP="007F1A2A">
      <w:pPr>
        <w:spacing w:after="0" w:line="240" w:lineRule="auto"/>
      </w:pPr>
      <w:r>
        <w:separator/>
      </w:r>
    </w:p>
  </w:endnote>
  <w:endnote w:type="continuationSeparator" w:id="0">
    <w:p w14:paraId="239404BC" w14:textId="77777777" w:rsidR="001106F0" w:rsidRDefault="001106F0" w:rsidP="007F1A2A">
      <w:pPr>
        <w:spacing w:after="0" w:line="240" w:lineRule="auto"/>
      </w:pPr>
      <w:r>
        <w:continuationSeparator/>
      </w:r>
    </w:p>
  </w:endnote>
  <w:endnote w:type="continuationNotice" w:id="1">
    <w:p w14:paraId="3FA9DDAD" w14:textId="77777777" w:rsidR="001106F0" w:rsidRDefault="00110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DIN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8CBC" w14:textId="77777777" w:rsidR="00900299" w:rsidRDefault="00900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07A612" w14:textId="00A387F5" w:rsidR="002C24B3" w:rsidRPr="00EC05FE" w:rsidRDefault="004B5369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 xml:space="preserve">Elexon Limited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>
              <w:fldChar w:fldCharType="end"/>
            </w:r>
            <w:r w:rsidR="002C24B3">
              <w:tab/>
            </w:r>
            <w:r w:rsidR="002C24B3">
              <w:tab/>
            </w:r>
            <w:r w:rsidR="002C24B3" w:rsidRPr="008345BA">
              <w:t xml:space="preserve">Page </w:t>
            </w:r>
            <w:r w:rsidR="002C24B3" w:rsidRPr="008345BA">
              <w:fldChar w:fldCharType="begin"/>
            </w:r>
            <w:r w:rsidR="002C24B3" w:rsidRPr="008345BA">
              <w:instrText xml:space="preserve"> PAGE </w:instrText>
            </w:r>
            <w:r w:rsidR="002C24B3" w:rsidRPr="008345BA">
              <w:fldChar w:fldCharType="separate"/>
            </w:r>
            <w:r w:rsidR="003D5C7F">
              <w:rPr>
                <w:noProof/>
              </w:rPr>
              <w:t>2</w:t>
            </w:r>
            <w:r w:rsidR="002C24B3" w:rsidRPr="008345BA">
              <w:fldChar w:fldCharType="end"/>
            </w:r>
            <w:r w:rsidR="002C24B3" w:rsidRPr="008345BA">
              <w:t xml:space="preserve"> of </w:t>
            </w:r>
            <w:r w:rsidR="002C24B3">
              <w:fldChar w:fldCharType="begin"/>
            </w:r>
            <w:r w:rsidR="002C24B3">
              <w:instrText xml:space="preserve"> NUMPAGES  </w:instrText>
            </w:r>
            <w:r w:rsidR="002C24B3">
              <w:fldChar w:fldCharType="separate"/>
            </w:r>
            <w:r w:rsidR="003D5C7F">
              <w:rPr>
                <w:noProof/>
              </w:rPr>
              <w:t>2</w:t>
            </w:r>
            <w:r w:rsidR="002C24B3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80D1" w14:textId="1CA37C60" w:rsidR="002C24B3" w:rsidRPr="00EC05FE" w:rsidRDefault="00B05E95" w:rsidP="00EC05FE">
    <w:pPr>
      <w:pStyle w:val="Footer"/>
      <w:tabs>
        <w:tab w:val="clear" w:pos="9360"/>
        <w:tab w:val="right" w:pos="10490"/>
      </w:tabs>
    </w:pP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>
      <w:fldChar w:fldCharType="end"/>
    </w:r>
    <w:r w:rsidR="002C24B3">
      <w:tab/>
    </w:r>
    <w:r w:rsidR="002C24B3">
      <w:tab/>
    </w:r>
    <w:r w:rsidR="002C24B3" w:rsidRPr="008345BA">
      <w:t xml:space="preserve">Page </w:t>
    </w:r>
    <w:r w:rsidR="002C24B3" w:rsidRPr="008345BA">
      <w:fldChar w:fldCharType="begin"/>
    </w:r>
    <w:r w:rsidR="002C24B3" w:rsidRPr="008345BA">
      <w:instrText xml:space="preserve"> PAGE </w:instrText>
    </w:r>
    <w:r w:rsidR="002C24B3" w:rsidRPr="008345BA">
      <w:fldChar w:fldCharType="separate"/>
    </w:r>
    <w:r w:rsidR="003D5C7F">
      <w:rPr>
        <w:noProof/>
      </w:rPr>
      <w:t>1</w:t>
    </w:r>
    <w:r w:rsidR="002C24B3" w:rsidRPr="008345BA">
      <w:fldChar w:fldCharType="end"/>
    </w:r>
    <w:r w:rsidR="002C24B3" w:rsidRPr="008345BA">
      <w:t xml:space="preserve"> of </w:t>
    </w:r>
    <w:r w:rsidR="002C24B3">
      <w:fldChar w:fldCharType="begin"/>
    </w:r>
    <w:r w:rsidR="002C24B3">
      <w:instrText xml:space="preserve"> NUMPAGES  </w:instrText>
    </w:r>
    <w:r w:rsidR="002C24B3">
      <w:fldChar w:fldCharType="separate"/>
    </w:r>
    <w:r w:rsidR="003D5C7F">
      <w:rPr>
        <w:noProof/>
      </w:rPr>
      <w:t>2</w:t>
    </w:r>
    <w:r w:rsidR="002C24B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789E" w14:textId="77777777" w:rsidR="001106F0" w:rsidRDefault="001106F0" w:rsidP="007F1A2A">
      <w:pPr>
        <w:spacing w:after="0" w:line="240" w:lineRule="auto"/>
      </w:pPr>
      <w:r>
        <w:separator/>
      </w:r>
    </w:p>
  </w:footnote>
  <w:footnote w:type="continuationSeparator" w:id="0">
    <w:p w14:paraId="6CBB4DB1" w14:textId="77777777" w:rsidR="001106F0" w:rsidRDefault="001106F0" w:rsidP="007F1A2A">
      <w:pPr>
        <w:spacing w:after="0" w:line="240" w:lineRule="auto"/>
      </w:pPr>
      <w:r>
        <w:continuationSeparator/>
      </w:r>
    </w:p>
  </w:footnote>
  <w:footnote w:type="continuationNotice" w:id="1">
    <w:p w14:paraId="6DD88599" w14:textId="77777777" w:rsidR="001106F0" w:rsidRDefault="00110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AF5A" w14:textId="77777777" w:rsidR="00900299" w:rsidRDefault="00900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C13B" w14:textId="77777777" w:rsidR="00900299" w:rsidRDefault="00900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E667" w14:textId="46EDD8AF" w:rsidR="002C24B3" w:rsidRPr="00EC05FE" w:rsidRDefault="006A5033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2EE54155" wp14:editId="2C08379E">
          <wp:extent cx="1713600" cy="540000"/>
          <wp:effectExtent l="0" t="0" r="127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96199"/>
    <w:multiLevelType w:val="hybridMultilevel"/>
    <w:tmpl w:val="C96E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060A6BAB"/>
    <w:multiLevelType w:val="hybridMultilevel"/>
    <w:tmpl w:val="A112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0FCF"/>
    <w:multiLevelType w:val="hybridMultilevel"/>
    <w:tmpl w:val="6D54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5E83"/>
    <w:multiLevelType w:val="hybridMultilevel"/>
    <w:tmpl w:val="40683EB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D5744C"/>
    <w:multiLevelType w:val="multilevel"/>
    <w:tmpl w:val="A28EC53E"/>
    <w:styleLink w:val="ListHeadings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7" w15:restartNumberingAfterBreak="0">
    <w:nsid w:val="1F3E4426"/>
    <w:multiLevelType w:val="hybridMultilevel"/>
    <w:tmpl w:val="801AECEA"/>
    <w:styleLink w:val="ListNumbers"/>
    <w:lvl w:ilvl="0" w:tplc="801AECEA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69F45016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F04EA142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FDAC731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4222687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E6DAE4E2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73B2EE5E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55CE5BDC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8F44A0FA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FB5402"/>
    <w:multiLevelType w:val="hybridMultilevel"/>
    <w:tmpl w:val="44E2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6D1F"/>
    <w:multiLevelType w:val="hybridMultilevel"/>
    <w:tmpl w:val="E210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D33"/>
    <w:multiLevelType w:val="multilevel"/>
    <w:tmpl w:val="C34A9F98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3" w15:restartNumberingAfterBreak="0">
    <w:nsid w:val="3E225E17"/>
    <w:multiLevelType w:val="multilevel"/>
    <w:tmpl w:val="7870D144"/>
    <w:lvl w:ilvl="0">
      <w:start w:val="1"/>
      <w:numFmt w:val="decimal"/>
      <w:pStyle w:val="Number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erbodytext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berbodytext2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14" w15:restartNumberingAfterBreak="0">
    <w:nsid w:val="4DAF0977"/>
    <w:multiLevelType w:val="hybridMultilevel"/>
    <w:tmpl w:val="801AECEA"/>
    <w:lvl w:ilvl="0" w:tplc="0902F52C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2B409B5A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6A6AF47A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B52AB0A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3742460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AFB8B4EE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928A4FD2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7ECCCB1A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4B72BD92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15" w15:restartNumberingAfterBreak="0">
    <w:nsid w:val="50FC2501"/>
    <w:multiLevelType w:val="multilevel"/>
    <w:tmpl w:val="59A226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852D36"/>
    <w:multiLevelType w:val="hybridMultilevel"/>
    <w:tmpl w:val="4152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7E02"/>
    <w:multiLevelType w:val="hybridMultilevel"/>
    <w:tmpl w:val="B6520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7F0CA0"/>
    <w:multiLevelType w:val="multilevel"/>
    <w:tmpl w:val="309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150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6268CE"/>
    <w:multiLevelType w:val="multilevel"/>
    <w:tmpl w:val="7BE0AE7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2"/>
      <w:numFmt w:val="decimal"/>
      <w:lvlRestart w:val="0"/>
      <w:pStyle w:val="MHHSNumberedTableText"/>
      <w:lvlText w:val="%2."/>
      <w:lvlJc w:val="left"/>
      <w:pPr>
        <w:ind w:left="284" w:hanging="284"/>
      </w:pPr>
      <w:rPr>
        <w:rFonts w:asciiTheme="minorHAnsi" w:hAnsiTheme="minorHAnsi" w:hint="default"/>
        <w:b/>
        <w:i w:val="0"/>
        <w:sz w:val="17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21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B46C19"/>
    <w:multiLevelType w:val="hybridMultilevel"/>
    <w:tmpl w:val="A04C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68663">
    <w:abstractNumId w:val="0"/>
  </w:num>
  <w:num w:numId="2" w16cid:durableId="1455367432">
    <w:abstractNumId w:val="9"/>
  </w:num>
  <w:num w:numId="3" w16cid:durableId="1415737893">
    <w:abstractNumId w:val="20"/>
  </w:num>
  <w:num w:numId="4" w16cid:durableId="497580592">
    <w:abstractNumId w:val="2"/>
  </w:num>
  <w:num w:numId="5" w16cid:durableId="2067685285">
    <w:abstractNumId w:val="1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6" w16cid:durableId="2062291199">
    <w:abstractNumId w:val="1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589733342">
    <w:abstractNumId w:val="8"/>
  </w:num>
  <w:num w:numId="8" w16cid:durableId="1584803474">
    <w:abstractNumId w:val="21"/>
  </w:num>
  <w:num w:numId="9" w16cid:durableId="1824545873">
    <w:abstractNumId w:val="6"/>
  </w:num>
  <w:num w:numId="10" w16cid:durableId="1272781741">
    <w:abstractNumId w:val="7"/>
  </w:num>
  <w:num w:numId="11" w16cid:durableId="1702705101">
    <w:abstractNumId w:val="13"/>
  </w:num>
  <w:num w:numId="12" w16cid:durableId="794759495">
    <w:abstractNumId w:val="15"/>
  </w:num>
  <w:num w:numId="13" w16cid:durableId="1441026422">
    <w:abstractNumId w:val="19"/>
  </w:num>
  <w:num w:numId="14" w16cid:durableId="1039630118">
    <w:abstractNumId w:val="14"/>
  </w:num>
  <w:num w:numId="15" w16cid:durableId="508564391">
    <w:abstractNumId w:val="10"/>
  </w:num>
  <w:num w:numId="16" w16cid:durableId="420369611">
    <w:abstractNumId w:val="1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7" w16cid:durableId="88702609">
    <w:abstractNumId w:val="11"/>
  </w:num>
  <w:num w:numId="18" w16cid:durableId="68038755">
    <w:abstractNumId w:val="1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9" w16cid:durableId="298147808">
    <w:abstractNumId w:val="5"/>
  </w:num>
  <w:num w:numId="20" w16cid:durableId="1741439642">
    <w:abstractNumId w:val="18"/>
  </w:num>
  <w:num w:numId="21" w16cid:durableId="42170395">
    <w:abstractNumId w:val="3"/>
  </w:num>
  <w:num w:numId="22" w16cid:durableId="1469544841">
    <w:abstractNumId w:val="17"/>
  </w:num>
  <w:num w:numId="23" w16cid:durableId="19626992">
    <w:abstractNumId w:val="4"/>
  </w:num>
  <w:num w:numId="24" w16cid:durableId="1419208459">
    <w:abstractNumId w:val="16"/>
  </w:num>
  <w:num w:numId="25" w16cid:durableId="1556699408">
    <w:abstractNumId w:val="22"/>
  </w:num>
  <w:num w:numId="26" w16cid:durableId="214565615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ElexonBasi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15F5"/>
    <w:rsid w:val="000117E1"/>
    <w:rsid w:val="0001369E"/>
    <w:rsid w:val="00021D2D"/>
    <w:rsid w:val="0002617E"/>
    <w:rsid w:val="00027AAC"/>
    <w:rsid w:val="000306D2"/>
    <w:rsid w:val="000321A9"/>
    <w:rsid w:val="0003289C"/>
    <w:rsid w:val="000408CA"/>
    <w:rsid w:val="00041A20"/>
    <w:rsid w:val="000420A2"/>
    <w:rsid w:val="0004222E"/>
    <w:rsid w:val="00050401"/>
    <w:rsid w:val="00052F0F"/>
    <w:rsid w:val="00053B5E"/>
    <w:rsid w:val="00055807"/>
    <w:rsid w:val="000627FA"/>
    <w:rsid w:val="00062844"/>
    <w:rsid w:val="0007537F"/>
    <w:rsid w:val="00075C26"/>
    <w:rsid w:val="00096A8F"/>
    <w:rsid w:val="000A167A"/>
    <w:rsid w:val="000A2A8D"/>
    <w:rsid w:val="000A4B6A"/>
    <w:rsid w:val="000B7756"/>
    <w:rsid w:val="000C01F1"/>
    <w:rsid w:val="000C478A"/>
    <w:rsid w:val="000C4CE0"/>
    <w:rsid w:val="000C65AA"/>
    <w:rsid w:val="000C7CD4"/>
    <w:rsid w:val="000E182D"/>
    <w:rsid w:val="000E351E"/>
    <w:rsid w:val="000E3853"/>
    <w:rsid w:val="000F5999"/>
    <w:rsid w:val="000F6A84"/>
    <w:rsid w:val="000F6B04"/>
    <w:rsid w:val="00103DE9"/>
    <w:rsid w:val="00110047"/>
    <w:rsid w:val="001106F0"/>
    <w:rsid w:val="00112717"/>
    <w:rsid w:val="00121EBC"/>
    <w:rsid w:val="00122B11"/>
    <w:rsid w:val="00124E82"/>
    <w:rsid w:val="001258AA"/>
    <w:rsid w:val="00127614"/>
    <w:rsid w:val="0013012B"/>
    <w:rsid w:val="0013198D"/>
    <w:rsid w:val="00132DD1"/>
    <w:rsid w:val="00146FDA"/>
    <w:rsid w:val="0014736B"/>
    <w:rsid w:val="00160782"/>
    <w:rsid w:val="0016245D"/>
    <w:rsid w:val="0017261D"/>
    <w:rsid w:val="00175239"/>
    <w:rsid w:val="00193539"/>
    <w:rsid w:val="00195D68"/>
    <w:rsid w:val="001A54FD"/>
    <w:rsid w:val="001B0B5A"/>
    <w:rsid w:val="001B6E1A"/>
    <w:rsid w:val="001C51E4"/>
    <w:rsid w:val="001D58BD"/>
    <w:rsid w:val="001D5C97"/>
    <w:rsid w:val="001E059F"/>
    <w:rsid w:val="001E1BA4"/>
    <w:rsid w:val="001E7F93"/>
    <w:rsid w:val="001F1698"/>
    <w:rsid w:val="001F5E36"/>
    <w:rsid w:val="0020206C"/>
    <w:rsid w:val="0020387C"/>
    <w:rsid w:val="00205742"/>
    <w:rsid w:val="00211238"/>
    <w:rsid w:val="00213570"/>
    <w:rsid w:val="002135BD"/>
    <w:rsid w:val="00213837"/>
    <w:rsid w:val="00213B63"/>
    <w:rsid w:val="00213C2C"/>
    <w:rsid w:val="00217433"/>
    <w:rsid w:val="002204DD"/>
    <w:rsid w:val="0022073D"/>
    <w:rsid w:val="00220791"/>
    <w:rsid w:val="00221E16"/>
    <w:rsid w:val="002226BD"/>
    <w:rsid w:val="0022542C"/>
    <w:rsid w:val="00230318"/>
    <w:rsid w:val="00230E00"/>
    <w:rsid w:val="00232F40"/>
    <w:rsid w:val="0024083B"/>
    <w:rsid w:val="00241CB2"/>
    <w:rsid w:val="002442CB"/>
    <w:rsid w:val="00257407"/>
    <w:rsid w:val="002634A8"/>
    <w:rsid w:val="0026429C"/>
    <w:rsid w:val="00264A18"/>
    <w:rsid w:val="0026756E"/>
    <w:rsid w:val="00271EB8"/>
    <w:rsid w:val="00272890"/>
    <w:rsid w:val="002749BC"/>
    <w:rsid w:val="00277C66"/>
    <w:rsid w:val="00282DAE"/>
    <w:rsid w:val="00291B54"/>
    <w:rsid w:val="00296A9E"/>
    <w:rsid w:val="002A137A"/>
    <w:rsid w:val="002A28F3"/>
    <w:rsid w:val="002A48CE"/>
    <w:rsid w:val="002B1DEC"/>
    <w:rsid w:val="002B2173"/>
    <w:rsid w:val="002B2AAF"/>
    <w:rsid w:val="002B5313"/>
    <w:rsid w:val="002B6E27"/>
    <w:rsid w:val="002C24B3"/>
    <w:rsid w:val="002D2A3C"/>
    <w:rsid w:val="002D6481"/>
    <w:rsid w:val="002D678B"/>
    <w:rsid w:val="002E4DAE"/>
    <w:rsid w:val="002F262C"/>
    <w:rsid w:val="002F6C5F"/>
    <w:rsid w:val="002F75F2"/>
    <w:rsid w:val="00314969"/>
    <w:rsid w:val="003153D5"/>
    <w:rsid w:val="003158D6"/>
    <w:rsid w:val="00320775"/>
    <w:rsid w:val="00322329"/>
    <w:rsid w:val="003253CD"/>
    <w:rsid w:val="003263AE"/>
    <w:rsid w:val="003274AF"/>
    <w:rsid w:val="00327AF0"/>
    <w:rsid w:val="00330405"/>
    <w:rsid w:val="0033085F"/>
    <w:rsid w:val="00330D90"/>
    <w:rsid w:val="003318AF"/>
    <w:rsid w:val="00340C27"/>
    <w:rsid w:val="003411EC"/>
    <w:rsid w:val="00345A94"/>
    <w:rsid w:val="00355AB8"/>
    <w:rsid w:val="00356390"/>
    <w:rsid w:val="003600BE"/>
    <w:rsid w:val="0036112A"/>
    <w:rsid w:val="003627BF"/>
    <w:rsid w:val="00365A87"/>
    <w:rsid w:val="0037237B"/>
    <w:rsid w:val="00376B8D"/>
    <w:rsid w:val="003838EA"/>
    <w:rsid w:val="00383C5F"/>
    <w:rsid w:val="00387BC8"/>
    <w:rsid w:val="00392281"/>
    <w:rsid w:val="003958E8"/>
    <w:rsid w:val="003A07F2"/>
    <w:rsid w:val="003A087C"/>
    <w:rsid w:val="003A2D06"/>
    <w:rsid w:val="003A58EE"/>
    <w:rsid w:val="003B10E1"/>
    <w:rsid w:val="003B513F"/>
    <w:rsid w:val="003C7993"/>
    <w:rsid w:val="003D5C7F"/>
    <w:rsid w:val="003F1A44"/>
    <w:rsid w:val="003F3826"/>
    <w:rsid w:val="003F7F02"/>
    <w:rsid w:val="00401D5F"/>
    <w:rsid w:val="004025F4"/>
    <w:rsid w:val="004028C6"/>
    <w:rsid w:val="00403274"/>
    <w:rsid w:val="00407876"/>
    <w:rsid w:val="00411083"/>
    <w:rsid w:val="004148B6"/>
    <w:rsid w:val="00416E96"/>
    <w:rsid w:val="00417E22"/>
    <w:rsid w:val="004203EB"/>
    <w:rsid w:val="00422D24"/>
    <w:rsid w:val="00423CFE"/>
    <w:rsid w:val="00425F8E"/>
    <w:rsid w:val="0043060D"/>
    <w:rsid w:val="00432639"/>
    <w:rsid w:val="004353C0"/>
    <w:rsid w:val="00441881"/>
    <w:rsid w:val="00441A8E"/>
    <w:rsid w:val="00447B73"/>
    <w:rsid w:val="004509C9"/>
    <w:rsid w:val="00453E33"/>
    <w:rsid w:val="00454A06"/>
    <w:rsid w:val="00456B64"/>
    <w:rsid w:val="004628A9"/>
    <w:rsid w:val="00462A74"/>
    <w:rsid w:val="004632C4"/>
    <w:rsid w:val="0047498A"/>
    <w:rsid w:val="00475C4D"/>
    <w:rsid w:val="0047746B"/>
    <w:rsid w:val="00480B9F"/>
    <w:rsid w:val="00481CBC"/>
    <w:rsid w:val="0048625E"/>
    <w:rsid w:val="004907BE"/>
    <w:rsid w:val="004942B5"/>
    <w:rsid w:val="00495B78"/>
    <w:rsid w:val="004B0775"/>
    <w:rsid w:val="004B1912"/>
    <w:rsid w:val="004B20C3"/>
    <w:rsid w:val="004B3B9E"/>
    <w:rsid w:val="004B4271"/>
    <w:rsid w:val="004B4CAC"/>
    <w:rsid w:val="004B5369"/>
    <w:rsid w:val="004C1078"/>
    <w:rsid w:val="004C4983"/>
    <w:rsid w:val="004C6D97"/>
    <w:rsid w:val="004D06D0"/>
    <w:rsid w:val="004D4661"/>
    <w:rsid w:val="004E5022"/>
    <w:rsid w:val="004E6970"/>
    <w:rsid w:val="004F0E60"/>
    <w:rsid w:val="004F1730"/>
    <w:rsid w:val="004F19EB"/>
    <w:rsid w:val="004F3847"/>
    <w:rsid w:val="00504A64"/>
    <w:rsid w:val="0050726C"/>
    <w:rsid w:val="005102AC"/>
    <w:rsid w:val="00512C37"/>
    <w:rsid w:val="00523470"/>
    <w:rsid w:val="00531ADA"/>
    <w:rsid w:val="00531ADF"/>
    <w:rsid w:val="00532B5D"/>
    <w:rsid w:val="00532C8B"/>
    <w:rsid w:val="00535B5A"/>
    <w:rsid w:val="0053607B"/>
    <w:rsid w:val="00541845"/>
    <w:rsid w:val="00541B82"/>
    <w:rsid w:val="005427F1"/>
    <w:rsid w:val="0054318E"/>
    <w:rsid w:val="00544E39"/>
    <w:rsid w:val="00555720"/>
    <w:rsid w:val="00555E36"/>
    <w:rsid w:val="00562A48"/>
    <w:rsid w:val="00564D8F"/>
    <w:rsid w:val="00565D40"/>
    <w:rsid w:val="005707E1"/>
    <w:rsid w:val="00572312"/>
    <w:rsid w:val="005817DB"/>
    <w:rsid w:val="00581CDE"/>
    <w:rsid w:val="0058372F"/>
    <w:rsid w:val="00583943"/>
    <w:rsid w:val="0058443B"/>
    <w:rsid w:val="00585BA3"/>
    <w:rsid w:val="005863C0"/>
    <w:rsid w:val="00594568"/>
    <w:rsid w:val="00594CFC"/>
    <w:rsid w:val="00595815"/>
    <w:rsid w:val="00595D85"/>
    <w:rsid w:val="00596227"/>
    <w:rsid w:val="005A3590"/>
    <w:rsid w:val="005A4E2F"/>
    <w:rsid w:val="005A7D30"/>
    <w:rsid w:val="005B4D32"/>
    <w:rsid w:val="005B4F67"/>
    <w:rsid w:val="005B7C9E"/>
    <w:rsid w:val="005C23D2"/>
    <w:rsid w:val="005C3663"/>
    <w:rsid w:val="005C6871"/>
    <w:rsid w:val="005D6945"/>
    <w:rsid w:val="005D7769"/>
    <w:rsid w:val="005E74E1"/>
    <w:rsid w:val="005E77D8"/>
    <w:rsid w:val="005F4209"/>
    <w:rsid w:val="005F4981"/>
    <w:rsid w:val="005F681C"/>
    <w:rsid w:val="00603DD7"/>
    <w:rsid w:val="00604187"/>
    <w:rsid w:val="00611603"/>
    <w:rsid w:val="006118F3"/>
    <w:rsid w:val="00612388"/>
    <w:rsid w:val="006124DC"/>
    <w:rsid w:val="00627D0E"/>
    <w:rsid w:val="00630CCA"/>
    <w:rsid w:val="0063315A"/>
    <w:rsid w:val="0063361B"/>
    <w:rsid w:val="006457C9"/>
    <w:rsid w:val="00651DCC"/>
    <w:rsid w:val="00661007"/>
    <w:rsid w:val="006610CA"/>
    <w:rsid w:val="006647C1"/>
    <w:rsid w:val="006648AA"/>
    <w:rsid w:val="00666ED8"/>
    <w:rsid w:val="00671932"/>
    <w:rsid w:val="00680779"/>
    <w:rsid w:val="00686D22"/>
    <w:rsid w:val="00692D0F"/>
    <w:rsid w:val="00697B3D"/>
    <w:rsid w:val="006A0D8C"/>
    <w:rsid w:val="006A2878"/>
    <w:rsid w:val="006A5033"/>
    <w:rsid w:val="006A738F"/>
    <w:rsid w:val="006A77BD"/>
    <w:rsid w:val="006C13A5"/>
    <w:rsid w:val="006D2D03"/>
    <w:rsid w:val="006D433E"/>
    <w:rsid w:val="006E55EF"/>
    <w:rsid w:val="006F7595"/>
    <w:rsid w:val="007063CC"/>
    <w:rsid w:val="00707A91"/>
    <w:rsid w:val="007128C5"/>
    <w:rsid w:val="007211FC"/>
    <w:rsid w:val="00724498"/>
    <w:rsid w:val="0073096F"/>
    <w:rsid w:val="007351BE"/>
    <w:rsid w:val="00737037"/>
    <w:rsid w:val="00737899"/>
    <w:rsid w:val="00740C67"/>
    <w:rsid w:val="0074411B"/>
    <w:rsid w:val="00746219"/>
    <w:rsid w:val="00752C3D"/>
    <w:rsid w:val="00753416"/>
    <w:rsid w:val="0075478E"/>
    <w:rsid w:val="00756288"/>
    <w:rsid w:val="007577C3"/>
    <w:rsid w:val="0076006F"/>
    <w:rsid w:val="00762237"/>
    <w:rsid w:val="00762FD0"/>
    <w:rsid w:val="0076737B"/>
    <w:rsid w:val="0077364A"/>
    <w:rsid w:val="00774D33"/>
    <w:rsid w:val="00780734"/>
    <w:rsid w:val="00782D6E"/>
    <w:rsid w:val="00786453"/>
    <w:rsid w:val="007910B1"/>
    <w:rsid w:val="00791F87"/>
    <w:rsid w:val="007935D5"/>
    <w:rsid w:val="007A0875"/>
    <w:rsid w:val="007A1BDF"/>
    <w:rsid w:val="007A443E"/>
    <w:rsid w:val="007A604F"/>
    <w:rsid w:val="007A68C1"/>
    <w:rsid w:val="007B21B5"/>
    <w:rsid w:val="007B2644"/>
    <w:rsid w:val="007B3B61"/>
    <w:rsid w:val="007C33FD"/>
    <w:rsid w:val="007C43A5"/>
    <w:rsid w:val="007C5640"/>
    <w:rsid w:val="007C5A61"/>
    <w:rsid w:val="007E5F4A"/>
    <w:rsid w:val="007E7C6B"/>
    <w:rsid w:val="007F1A2A"/>
    <w:rsid w:val="00802EEB"/>
    <w:rsid w:val="008075A8"/>
    <w:rsid w:val="00813546"/>
    <w:rsid w:val="008173B1"/>
    <w:rsid w:val="00820A70"/>
    <w:rsid w:val="0083018F"/>
    <w:rsid w:val="00830C91"/>
    <w:rsid w:val="008319E4"/>
    <w:rsid w:val="00832F59"/>
    <w:rsid w:val="008345BA"/>
    <w:rsid w:val="00834D85"/>
    <w:rsid w:val="00840D48"/>
    <w:rsid w:val="00846E96"/>
    <w:rsid w:val="00847212"/>
    <w:rsid w:val="0084730A"/>
    <w:rsid w:val="008548EC"/>
    <w:rsid w:val="00855C2A"/>
    <w:rsid w:val="00856398"/>
    <w:rsid w:val="008617B9"/>
    <w:rsid w:val="00862886"/>
    <w:rsid w:val="008675F4"/>
    <w:rsid w:val="008676C2"/>
    <w:rsid w:val="008712AF"/>
    <w:rsid w:val="00871C21"/>
    <w:rsid w:val="00872706"/>
    <w:rsid w:val="008728AF"/>
    <w:rsid w:val="00873A26"/>
    <w:rsid w:val="0087412A"/>
    <w:rsid w:val="00874152"/>
    <w:rsid w:val="008747E2"/>
    <w:rsid w:val="00882B08"/>
    <w:rsid w:val="008846B2"/>
    <w:rsid w:val="00885730"/>
    <w:rsid w:val="00892B30"/>
    <w:rsid w:val="008946DB"/>
    <w:rsid w:val="008A62CC"/>
    <w:rsid w:val="008B1FC8"/>
    <w:rsid w:val="008B27C2"/>
    <w:rsid w:val="008B479E"/>
    <w:rsid w:val="008B47F5"/>
    <w:rsid w:val="008B5687"/>
    <w:rsid w:val="008B6514"/>
    <w:rsid w:val="008C712D"/>
    <w:rsid w:val="008C7BC5"/>
    <w:rsid w:val="008D044D"/>
    <w:rsid w:val="008E3E9E"/>
    <w:rsid w:val="008F2D4C"/>
    <w:rsid w:val="008F5339"/>
    <w:rsid w:val="00900299"/>
    <w:rsid w:val="009028C3"/>
    <w:rsid w:val="00904932"/>
    <w:rsid w:val="00915387"/>
    <w:rsid w:val="0092473F"/>
    <w:rsid w:val="00930D80"/>
    <w:rsid w:val="0094123A"/>
    <w:rsid w:val="00942E21"/>
    <w:rsid w:val="0095016C"/>
    <w:rsid w:val="009550AF"/>
    <w:rsid w:val="009618C0"/>
    <w:rsid w:val="0096339A"/>
    <w:rsid w:val="00966405"/>
    <w:rsid w:val="009676EF"/>
    <w:rsid w:val="00971FE5"/>
    <w:rsid w:val="009775DB"/>
    <w:rsid w:val="00977766"/>
    <w:rsid w:val="0097784D"/>
    <w:rsid w:val="00977936"/>
    <w:rsid w:val="00983A85"/>
    <w:rsid w:val="0098419A"/>
    <w:rsid w:val="009856FE"/>
    <w:rsid w:val="00992F98"/>
    <w:rsid w:val="00994355"/>
    <w:rsid w:val="00995737"/>
    <w:rsid w:val="00996912"/>
    <w:rsid w:val="009976D9"/>
    <w:rsid w:val="009A475D"/>
    <w:rsid w:val="009A48A8"/>
    <w:rsid w:val="009B2331"/>
    <w:rsid w:val="009B60EA"/>
    <w:rsid w:val="009B7684"/>
    <w:rsid w:val="009C7BB4"/>
    <w:rsid w:val="009D1D53"/>
    <w:rsid w:val="009D2754"/>
    <w:rsid w:val="009D4B9C"/>
    <w:rsid w:val="009E3893"/>
    <w:rsid w:val="009E5334"/>
    <w:rsid w:val="009F09E5"/>
    <w:rsid w:val="009F23B4"/>
    <w:rsid w:val="00A04ACF"/>
    <w:rsid w:val="00A04B88"/>
    <w:rsid w:val="00A10A25"/>
    <w:rsid w:val="00A138BD"/>
    <w:rsid w:val="00A145A2"/>
    <w:rsid w:val="00A16155"/>
    <w:rsid w:val="00A2038A"/>
    <w:rsid w:val="00A2110F"/>
    <w:rsid w:val="00A27BDB"/>
    <w:rsid w:val="00A30F42"/>
    <w:rsid w:val="00A342D0"/>
    <w:rsid w:val="00A43A0E"/>
    <w:rsid w:val="00A46D89"/>
    <w:rsid w:val="00A51D60"/>
    <w:rsid w:val="00A52B2E"/>
    <w:rsid w:val="00A55CED"/>
    <w:rsid w:val="00A62D53"/>
    <w:rsid w:val="00A64CFD"/>
    <w:rsid w:val="00A65BEA"/>
    <w:rsid w:val="00A677F5"/>
    <w:rsid w:val="00A7095E"/>
    <w:rsid w:val="00A76E29"/>
    <w:rsid w:val="00A77602"/>
    <w:rsid w:val="00A82A09"/>
    <w:rsid w:val="00A85ACF"/>
    <w:rsid w:val="00A9021A"/>
    <w:rsid w:val="00A90ABA"/>
    <w:rsid w:val="00A913E7"/>
    <w:rsid w:val="00A9591F"/>
    <w:rsid w:val="00A97F2E"/>
    <w:rsid w:val="00AA02FD"/>
    <w:rsid w:val="00AA06FD"/>
    <w:rsid w:val="00AA070B"/>
    <w:rsid w:val="00AA2E76"/>
    <w:rsid w:val="00AB1CF3"/>
    <w:rsid w:val="00AB5E84"/>
    <w:rsid w:val="00AC1420"/>
    <w:rsid w:val="00AC33B2"/>
    <w:rsid w:val="00AC53C4"/>
    <w:rsid w:val="00AD141F"/>
    <w:rsid w:val="00AD443F"/>
    <w:rsid w:val="00AD4BDB"/>
    <w:rsid w:val="00AD50AF"/>
    <w:rsid w:val="00AE53FA"/>
    <w:rsid w:val="00AF0FE0"/>
    <w:rsid w:val="00AF522B"/>
    <w:rsid w:val="00AF66B7"/>
    <w:rsid w:val="00AF7722"/>
    <w:rsid w:val="00B01CEB"/>
    <w:rsid w:val="00B04621"/>
    <w:rsid w:val="00B05E95"/>
    <w:rsid w:val="00B12342"/>
    <w:rsid w:val="00B13CAD"/>
    <w:rsid w:val="00B14E0F"/>
    <w:rsid w:val="00B354BB"/>
    <w:rsid w:val="00B42439"/>
    <w:rsid w:val="00B437F5"/>
    <w:rsid w:val="00B45AAD"/>
    <w:rsid w:val="00B5291F"/>
    <w:rsid w:val="00B558FC"/>
    <w:rsid w:val="00B6335C"/>
    <w:rsid w:val="00B63954"/>
    <w:rsid w:val="00B76BDD"/>
    <w:rsid w:val="00B77549"/>
    <w:rsid w:val="00B77ACB"/>
    <w:rsid w:val="00B8575E"/>
    <w:rsid w:val="00B87B44"/>
    <w:rsid w:val="00B91D65"/>
    <w:rsid w:val="00BA06BC"/>
    <w:rsid w:val="00BA0E67"/>
    <w:rsid w:val="00BA2010"/>
    <w:rsid w:val="00BA27EE"/>
    <w:rsid w:val="00BA3D8A"/>
    <w:rsid w:val="00BA4B20"/>
    <w:rsid w:val="00BE3ED3"/>
    <w:rsid w:val="00BE6290"/>
    <w:rsid w:val="00BF156E"/>
    <w:rsid w:val="00C0162E"/>
    <w:rsid w:val="00C017B5"/>
    <w:rsid w:val="00C0602C"/>
    <w:rsid w:val="00C077E6"/>
    <w:rsid w:val="00C07F7A"/>
    <w:rsid w:val="00C1689B"/>
    <w:rsid w:val="00C16E52"/>
    <w:rsid w:val="00C2038D"/>
    <w:rsid w:val="00C22ED1"/>
    <w:rsid w:val="00C24DA0"/>
    <w:rsid w:val="00C25573"/>
    <w:rsid w:val="00C42BDF"/>
    <w:rsid w:val="00C432A6"/>
    <w:rsid w:val="00C43530"/>
    <w:rsid w:val="00C44356"/>
    <w:rsid w:val="00C4443E"/>
    <w:rsid w:val="00C45CC5"/>
    <w:rsid w:val="00C46433"/>
    <w:rsid w:val="00C5236D"/>
    <w:rsid w:val="00C52509"/>
    <w:rsid w:val="00C55AAB"/>
    <w:rsid w:val="00C63530"/>
    <w:rsid w:val="00C656B7"/>
    <w:rsid w:val="00C660DE"/>
    <w:rsid w:val="00C6637E"/>
    <w:rsid w:val="00C663B3"/>
    <w:rsid w:val="00C71655"/>
    <w:rsid w:val="00C80A86"/>
    <w:rsid w:val="00C80EA4"/>
    <w:rsid w:val="00C85448"/>
    <w:rsid w:val="00C85847"/>
    <w:rsid w:val="00CA4472"/>
    <w:rsid w:val="00CC22B3"/>
    <w:rsid w:val="00CC4004"/>
    <w:rsid w:val="00CD087C"/>
    <w:rsid w:val="00CD30C9"/>
    <w:rsid w:val="00CD4E87"/>
    <w:rsid w:val="00CE2CB3"/>
    <w:rsid w:val="00CE6D0E"/>
    <w:rsid w:val="00CF127D"/>
    <w:rsid w:val="00CF349E"/>
    <w:rsid w:val="00CF3C9B"/>
    <w:rsid w:val="00D04729"/>
    <w:rsid w:val="00D133E4"/>
    <w:rsid w:val="00D13CDA"/>
    <w:rsid w:val="00D1463A"/>
    <w:rsid w:val="00D25BAB"/>
    <w:rsid w:val="00D27FDF"/>
    <w:rsid w:val="00D303E6"/>
    <w:rsid w:val="00D30EBB"/>
    <w:rsid w:val="00D45DDB"/>
    <w:rsid w:val="00D5026D"/>
    <w:rsid w:val="00D51039"/>
    <w:rsid w:val="00D53C17"/>
    <w:rsid w:val="00D547AB"/>
    <w:rsid w:val="00D57D54"/>
    <w:rsid w:val="00D617E5"/>
    <w:rsid w:val="00D70274"/>
    <w:rsid w:val="00D72E14"/>
    <w:rsid w:val="00D7364B"/>
    <w:rsid w:val="00D74E18"/>
    <w:rsid w:val="00D77A78"/>
    <w:rsid w:val="00D80F6E"/>
    <w:rsid w:val="00D870CF"/>
    <w:rsid w:val="00D87C80"/>
    <w:rsid w:val="00D9124B"/>
    <w:rsid w:val="00D91D45"/>
    <w:rsid w:val="00D94DD4"/>
    <w:rsid w:val="00D9527A"/>
    <w:rsid w:val="00D95B27"/>
    <w:rsid w:val="00DA4176"/>
    <w:rsid w:val="00DA5AFE"/>
    <w:rsid w:val="00DB235F"/>
    <w:rsid w:val="00DC110E"/>
    <w:rsid w:val="00DC3701"/>
    <w:rsid w:val="00DC7A76"/>
    <w:rsid w:val="00DD32FB"/>
    <w:rsid w:val="00DE7100"/>
    <w:rsid w:val="00DE77AA"/>
    <w:rsid w:val="00DF1A74"/>
    <w:rsid w:val="00E007D6"/>
    <w:rsid w:val="00E03B82"/>
    <w:rsid w:val="00E05254"/>
    <w:rsid w:val="00E075A4"/>
    <w:rsid w:val="00E13A8B"/>
    <w:rsid w:val="00E14077"/>
    <w:rsid w:val="00E174AA"/>
    <w:rsid w:val="00E20561"/>
    <w:rsid w:val="00E2180F"/>
    <w:rsid w:val="00E23F38"/>
    <w:rsid w:val="00E26387"/>
    <w:rsid w:val="00E27F80"/>
    <w:rsid w:val="00E309D6"/>
    <w:rsid w:val="00E313B9"/>
    <w:rsid w:val="00E34D14"/>
    <w:rsid w:val="00E364A5"/>
    <w:rsid w:val="00E37584"/>
    <w:rsid w:val="00E42681"/>
    <w:rsid w:val="00E43B8D"/>
    <w:rsid w:val="00E44145"/>
    <w:rsid w:val="00E458F0"/>
    <w:rsid w:val="00E57BC2"/>
    <w:rsid w:val="00E61CA9"/>
    <w:rsid w:val="00E67F53"/>
    <w:rsid w:val="00E720F1"/>
    <w:rsid w:val="00E72FDA"/>
    <w:rsid w:val="00E85582"/>
    <w:rsid w:val="00E85EA9"/>
    <w:rsid w:val="00E91023"/>
    <w:rsid w:val="00E95DA8"/>
    <w:rsid w:val="00E97243"/>
    <w:rsid w:val="00EA0692"/>
    <w:rsid w:val="00EA7C14"/>
    <w:rsid w:val="00EB4023"/>
    <w:rsid w:val="00EC05FE"/>
    <w:rsid w:val="00EC121C"/>
    <w:rsid w:val="00EC3002"/>
    <w:rsid w:val="00EC5306"/>
    <w:rsid w:val="00EC5931"/>
    <w:rsid w:val="00ED0850"/>
    <w:rsid w:val="00ED1531"/>
    <w:rsid w:val="00ED63B7"/>
    <w:rsid w:val="00EE6FF7"/>
    <w:rsid w:val="00EE7481"/>
    <w:rsid w:val="00EF4CDF"/>
    <w:rsid w:val="00F04647"/>
    <w:rsid w:val="00F04ADA"/>
    <w:rsid w:val="00F04EA9"/>
    <w:rsid w:val="00F0503E"/>
    <w:rsid w:val="00F10858"/>
    <w:rsid w:val="00F14B16"/>
    <w:rsid w:val="00F239D3"/>
    <w:rsid w:val="00F251A3"/>
    <w:rsid w:val="00F303C7"/>
    <w:rsid w:val="00F32194"/>
    <w:rsid w:val="00F33B42"/>
    <w:rsid w:val="00F346D7"/>
    <w:rsid w:val="00F359A9"/>
    <w:rsid w:val="00F3669F"/>
    <w:rsid w:val="00F36C25"/>
    <w:rsid w:val="00F43087"/>
    <w:rsid w:val="00F479C2"/>
    <w:rsid w:val="00F528D8"/>
    <w:rsid w:val="00F542F0"/>
    <w:rsid w:val="00F54716"/>
    <w:rsid w:val="00F54923"/>
    <w:rsid w:val="00F576C1"/>
    <w:rsid w:val="00F6098C"/>
    <w:rsid w:val="00F61B38"/>
    <w:rsid w:val="00F62D0C"/>
    <w:rsid w:val="00F6659B"/>
    <w:rsid w:val="00F71706"/>
    <w:rsid w:val="00F73126"/>
    <w:rsid w:val="00F86171"/>
    <w:rsid w:val="00F902D6"/>
    <w:rsid w:val="00F90BB1"/>
    <w:rsid w:val="00F926DB"/>
    <w:rsid w:val="00F92A74"/>
    <w:rsid w:val="00F93038"/>
    <w:rsid w:val="00F94486"/>
    <w:rsid w:val="00F94B63"/>
    <w:rsid w:val="00FA577A"/>
    <w:rsid w:val="00FA7196"/>
    <w:rsid w:val="00FC6E22"/>
    <w:rsid w:val="00FD3C8C"/>
    <w:rsid w:val="00FE448E"/>
    <w:rsid w:val="00FE6996"/>
    <w:rsid w:val="00FF0B8E"/>
    <w:rsid w:val="00FF2911"/>
    <w:rsid w:val="00FF29E7"/>
    <w:rsid w:val="00FF5279"/>
    <w:rsid w:val="01F51343"/>
    <w:rsid w:val="26656B17"/>
    <w:rsid w:val="26E99D39"/>
    <w:rsid w:val="2F6B761A"/>
    <w:rsid w:val="41E69733"/>
    <w:rsid w:val="4664D2AF"/>
    <w:rsid w:val="4E1D0CCD"/>
    <w:rsid w:val="5C7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CDC"/>
  <w15:chartTrackingRefBased/>
  <w15:docId w15:val="{A2F8EFC5-4265-45D8-A834-F35576A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22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7095E"/>
    <w:pPr>
      <w:numPr>
        <w:numId w:val="12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AC53C4"/>
    <w:pPr>
      <w:numPr>
        <w:ilvl w:val="1"/>
        <w:numId w:val="12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12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C53C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C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C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C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7095E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53C4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0"/>
      </w:numPr>
      <w:pBdr>
        <w:top w:val="none" w:sz="0" w:space="0" w:color="auto"/>
      </w:pBdr>
      <w:spacing w:after="120" w:line="260" w:lineRule="atLeast"/>
      <w:ind w:left="680" w:hanging="680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aliases w:val="Number list 1"/>
    <w:basedOn w:val="Normal"/>
    <w:uiPriority w:val="99"/>
    <w:unhideWhenUsed/>
    <w:qFormat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pPr>
      <w:numPr>
        <w:ilvl w:val="1"/>
        <w:numId w:val="3"/>
      </w:numPr>
    </w:pPr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4"/>
      </w:numPr>
    </w:pPr>
  </w:style>
  <w:style w:type="paragraph" w:styleId="ListNumber2">
    <w:name w:val="List Number 2"/>
    <w:aliases w:val="Number list 2"/>
    <w:basedOn w:val="Normal"/>
    <w:uiPriority w:val="6"/>
    <w:unhideWhenUsed/>
    <w:qFormat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5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8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8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8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8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TableTextSmall">
    <w:name w:val="Elexon Table Text Small"/>
    <w:basedOn w:val="Normal"/>
    <w:qFormat/>
    <w:rsid w:val="00D94DD4"/>
    <w:pPr>
      <w:spacing w:after="0" w:line="240" w:lineRule="auto"/>
    </w:pPr>
    <w:rPr>
      <w:sz w:val="17"/>
    </w:rPr>
  </w:style>
  <w:style w:type="paragraph" w:customStyle="1" w:styleId="ElexonTableTextLarge">
    <w:name w:val="Elexon Table Text Large"/>
    <w:basedOn w:val="ElexonTableTextSmall"/>
    <w:qFormat/>
    <w:rsid w:val="00D94DD4"/>
    <w:rPr>
      <w:sz w:val="22"/>
    </w:rPr>
  </w:style>
  <w:style w:type="paragraph" w:customStyle="1" w:styleId="BodycopyDinlight">
    <w:name w:val="Body copy Din light"/>
    <w:basedOn w:val="Normal"/>
    <w:uiPriority w:val="99"/>
    <w:rsid w:val="00D94DD4"/>
    <w:pPr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DIN Light" w:hAnsi="DIN Light" w:cs="DIN Light"/>
      <w:color w:val="000000"/>
      <w:sz w:val="17"/>
      <w:szCs w:val="17"/>
    </w:rPr>
  </w:style>
  <w:style w:type="paragraph" w:customStyle="1" w:styleId="ElexonBody">
    <w:name w:val="Elexon Body"/>
    <w:basedOn w:val="Normal"/>
    <w:qFormat/>
    <w:rsid w:val="00D94DD4"/>
    <w:pPr>
      <w:spacing w:after="120" w:line="260" w:lineRule="atLeast"/>
    </w:pPr>
  </w:style>
  <w:style w:type="table" w:customStyle="1" w:styleId="Style1">
    <w:name w:val="Style1"/>
    <w:basedOn w:val="TableNormal"/>
    <w:uiPriority w:val="99"/>
    <w:rsid w:val="00D94DD4"/>
    <w:pPr>
      <w:spacing w:after="0" w:line="240" w:lineRule="auto"/>
    </w:pPr>
    <w:rPr>
      <w:sz w:val="17"/>
    </w:rPr>
    <w:tblPr>
      <w:tblBorders>
        <w:top w:val="single" w:sz="4" w:space="0" w:color="D4CDC1"/>
        <w:left w:val="single" w:sz="4" w:space="0" w:color="D4CDC1"/>
        <w:bottom w:val="single" w:sz="4" w:space="0" w:color="D4CDC1"/>
        <w:right w:val="single" w:sz="4" w:space="0" w:color="D4CDC1"/>
        <w:insideH w:val="single" w:sz="4" w:space="0" w:color="D4CDC1"/>
        <w:insideV w:val="single" w:sz="4" w:space="0" w:color="D4CDC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paragraph" w:styleId="Quote">
    <w:name w:val="Quote"/>
    <w:basedOn w:val="Normal"/>
    <w:next w:val="Normal"/>
    <w:link w:val="QuoteChar"/>
    <w:uiPriority w:val="29"/>
    <w:rsid w:val="00D94DD4"/>
    <w:pPr>
      <w:spacing w:before="200" w:after="160"/>
      <w:ind w:left="864" w:right="864"/>
      <w:jc w:val="center"/>
    </w:pPr>
    <w:rPr>
      <w:i/>
      <w:iCs/>
      <w:color w:val="0F4D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D4"/>
    <w:rPr>
      <w:i/>
      <w:iCs/>
      <w:color w:val="0F4D8F" w:themeColor="text1" w:themeTint="BF"/>
      <w:sz w:val="20"/>
      <w:lang w:val="en-GB"/>
    </w:rPr>
  </w:style>
  <w:style w:type="paragraph" w:customStyle="1" w:styleId="ElexonNumberedTableText">
    <w:name w:val="Elexon Numbered Table Text"/>
    <w:basedOn w:val="ElexonTableTextSmall"/>
    <w:qFormat/>
    <w:rsid w:val="00D94DD4"/>
    <w:pPr>
      <w:ind w:left="284" w:hanging="284"/>
    </w:pPr>
    <w:rPr>
      <w:rFonts w:cstheme="minorHAnsi"/>
      <w:color w:val="000000"/>
    </w:rPr>
  </w:style>
  <w:style w:type="numbering" w:customStyle="1" w:styleId="ListNumbers">
    <w:name w:val="__List Numbers"/>
    <w:basedOn w:val="NoList"/>
    <w:uiPriority w:val="99"/>
    <w:rsid w:val="00D94DD4"/>
    <w:pPr>
      <w:numPr>
        <w:numId w:val="10"/>
      </w:numPr>
    </w:pPr>
  </w:style>
  <w:style w:type="paragraph" w:styleId="BodyText">
    <w:name w:val="Body Text"/>
    <w:aliases w:val="Body"/>
    <w:link w:val="BodyTextChar"/>
    <w:uiPriority w:val="5"/>
    <w:qFormat/>
    <w:rsid w:val="00D94DD4"/>
    <w:pPr>
      <w:spacing w:after="113" w:line="260" w:lineRule="atLeast"/>
    </w:pPr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customStyle="1" w:styleId="Heading">
    <w:name w:val="Heading"/>
    <w:basedOn w:val="BodyText"/>
    <w:next w:val="BodyText"/>
    <w:uiPriority w:val="1"/>
    <w:qFormat/>
    <w:rsid w:val="00D94DD4"/>
    <w:pPr>
      <w:spacing w:before="200"/>
    </w:pPr>
    <w:rPr>
      <w:b/>
      <w:color w:val="041425" w:themeColor="text2"/>
      <w:sz w:val="22"/>
    </w:rPr>
  </w:style>
  <w:style w:type="numbering" w:customStyle="1" w:styleId="ListHeadings">
    <w:name w:val="__List Headings"/>
    <w:uiPriority w:val="99"/>
    <w:rsid w:val="00D94DD4"/>
    <w:pPr>
      <w:numPr>
        <w:numId w:val="9"/>
      </w:numPr>
    </w:pPr>
  </w:style>
  <w:style w:type="paragraph" w:customStyle="1" w:styleId="Boldheading">
    <w:name w:val="Bold heading"/>
    <w:basedOn w:val="BodyText"/>
    <w:next w:val="BodyText"/>
    <w:uiPriority w:val="3"/>
    <w:qFormat/>
    <w:rsid w:val="00D94DD4"/>
    <w:rPr>
      <w:b/>
    </w:rPr>
  </w:style>
  <w:style w:type="paragraph" w:customStyle="1" w:styleId="Numberbodytext1">
    <w:name w:val="Number body text 1"/>
    <w:basedOn w:val="BodyText"/>
    <w:uiPriority w:val="3"/>
    <w:unhideWhenUsed/>
    <w:qFormat/>
    <w:rsid w:val="00D94DD4"/>
    <w:pPr>
      <w:numPr>
        <w:ilvl w:val="1"/>
        <w:numId w:val="11"/>
      </w:numPr>
    </w:pPr>
  </w:style>
  <w:style w:type="paragraph" w:customStyle="1" w:styleId="Numberbodytext2">
    <w:name w:val="Number body text 2"/>
    <w:basedOn w:val="Numberbodytext1"/>
    <w:uiPriority w:val="3"/>
    <w:unhideWhenUsed/>
    <w:qFormat/>
    <w:rsid w:val="00D94DD4"/>
    <w:pPr>
      <w:numPr>
        <w:ilvl w:val="2"/>
      </w:numPr>
    </w:pPr>
  </w:style>
  <w:style w:type="paragraph" w:customStyle="1" w:styleId="Numberheading">
    <w:name w:val="Number heading"/>
    <w:basedOn w:val="Heading"/>
    <w:next w:val="Numberbodytext1"/>
    <w:uiPriority w:val="2"/>
    <w:qFormat/>
    <w:rsid w:val="00D94DD4"/>
    <w:pPr>
      <w:numPr>
        <w:numId w:val="11"/>
      </w:numPr>
    </w:pPr>
  </w:style>
  <w:style w:type="character" w:styleId="LineNumber">
    <w:name w:val="line number"/>
    <w:basedOn w:val="DefaultParagraphFont"/>
    <w:uiPriority w:val="99"/>
    <w:unhideWhenUsed/>
    <w:rsid w:val="00D94DD4"/>
  </w:style>
  <w:style w:type="paragraph" w:styleId="Index9">
    <w:name w:val="index 9"/>
    <w:basedOn w:val="Normal"/>
    <w:next w:val="Normal"/>
    <w:autoRedefine/>
    <w:uiPriority w:val="99"/>
    <w:unhideWhenUsed/>
    <w:rsid w:val="00D94DD4"/>
    <w:pPr>
      <w:spacing w:after="0" w:line="240" w:lineRule="auto"/>
      <w:ind w:left="1800" w:hanging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D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D4"/>
    <w:pPr>
      <w:spacing w:after="113" w:line="240" w:lineRule="auto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94DD4"/>
    <w:pPr>
      <w:spacing w:after="113" w:line="260" w:lineRule="atLeast"/>
      <w:ind w:left="720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4DD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D4"/>
    <w:pPr>
      <w:spacing w:after="2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D4"/>
    <w:rPr>
      <w:rFonts w:ascii="Tahoma" w:eastAsia="Times New Roman" w:hAnsi="Tahoma" w:cs="Tahoma"/>
      <w:b/>
      <w:bCs/>
      <w:color w:val="041425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94DD4"/>
    <w:rPr>
      <w:i/>
      <w:iCs/>
    </w:rPr>
  </w:style>
  <w:style w:type="paragraph" w:customStyle="1" w:styleId="Default">
    <w:name w:val="Default"/>
    <w:rsid w:val="00D94D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9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C4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C4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C4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C4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NormalIndent">
    <w:name w:val="Normal Indent"/>
    <w:basedOn w:val="Normal"/>
    <w:rsid w:val="005C23D2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E43B8D"/>
    <w:pPr>
      <w:spacing w:after="0" w:line="240" w:lineRule="auto"/>
    </w:pPr>
    <w:rPr>
      <w:sz w:val="20"/>
      <w:lang w:val="en-GB"/>
    </w:rPr>
  </w:style>
  <w:style w:type="paragraph" w:customStyle="1" w:styleId="paragraph">
    <w:name w:val="paragraph"/>
    <w:basedOn w:val="Normal"/>
    <w:rsid w:val="0017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7261D"/>
  </w:style>
  <w:style w:type="character" w:customStyle="1" w:styleId="eop">
    <w:name w:val="eop"/>
    <w:basedOn w:val="DefaultParagraphFont"/>
    <w:rsid w:val="0017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MHHS V1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25D1CA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DEL1996</Doc_x0020_Number>
    <Work_x0020_Stream xmlns="701ba468-dae9-4317-9122-2627e28a41f4">Test &amp; Migration</Work_x0020_Stream>
    <_x003a_ xmlns="701ba468-dae9-4317-9122-2627e28a41f4" xsi:nil="true"/>
    <V xmlns="701ba468-dae9-4317-9122-2627e28a41f4">v0.1</V>
    <DateofMeeting xmlns="701ba468-dae9-4317-9122-2627e28a41f4">2023-12-20T00:00:00+00:00</DateofMeeting>
    <Working_x0020_Group xmlns="701ba468-dae9-4317-9122-2627e28a41f4">TMAG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Attachment 4 - TORWG ToR</Shortname>
    <MeetingNumber xmlns="701ba468-dae9-4317-9122-2627e28a41f4" xsi:nil="true"/>
    <Archive xmlns="701ba468-dae9-4317-9122-2627e28a41f4">false</Archi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3870-ED06-43E3-9DC3-0ED2AEF167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805CF8-1886-412A-86C6-EB811C26B60D}"/>
</file>

<file path=customXml/itemProps3.xml><?xml version="1.0" encoding="utf-8"?>
<ds:datastoreItem xmlns:ds="http://schemas.openxmlformats.org/officeDocument/2006/customXml" ds:itemID="{28FADA36-7DC3-40CD-A812-026FF0704879}">
  <ds:schemaRefs>
    <ds:schemaRef ds:uri="http://schemas.microsoft.com/office/2006/metadata/properties"/>
    <ds:schemaRef ds:uri="http://schemas.microsoft.com/office/infopath/2007/PartnerControls"/>
    <ds:schemaRef ds:uri="701ba468-dae9-4317-9122-2627e28a41f4"/>
    <ds:schemaRef ds:uri="336dc6f7-e858-42a6-bc18-5509d747a3d8"/>
  </ds:schemaRefs>
</ds:datastoreItem>
</file>

<file path=customXml/itemProps4.xml><?xml version="1.0" encoding="utf-8"?>
<ds:datastoreItem xmlns:ds="http://schemas.openxmlformats.org/officeDocument/2006/customXml" ds:itemID="{F8C551C2-0E73-4D35-8A5A-1CA04151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531ACB-EF82-4829-90BB-B89AB6E5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4</DocSecurity>
  <Lines>23</Lines>
  <Paragraphs>6</Paragraphs>
  <ScaleCrop>false</ScaleCrop>
  <Manager/>
  <Company/>
  <LinksUpToDate>false</LinksUpToDate>
  <CharactersWithSpaces>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 Migration Working Group ToR v0.1</dc:title>
  <dc:subject/>
  <dc:creator>Nick Coomber</dc:creator>
  <cp:keywords/>
  <dc:description/>
  <cp:lastModifiedBy>Sean Tuffy</cp:lastModifiedBy>
  <cp:revision>3</cp:revision>
  <cp:lastPrinted>2024-02-16T23:48:00Z</cp:lastPrinted>
  <dcterms:created xsi:type="dcterms:W3CDTF">2024-02-16T23:48:00Z</dcterms:created>
  <dcterms:modified xsi:type="dcterms:W3CDTF">2024-02-16T23:48:00Z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46161263-4731-4fda-9b5d-b7bacbbcbe65</vt:lpwstr>
  </property>
  <property fmtid="{D5CDD505-2E9C-101B-9397-08002B2CF9AE}" pid="3" name="bjSaver">
    <vt:lpwstr>Elk19NjTCK316Zv5bAMBAFof/O2kvhnp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0x010100AECCA232289F21488A027868CC50B7D1</vt:lpwstr>
  </property>
  <property fmtid="{D5CDD505-2E9C-101B-9397-08002B2CF9AE}" pid="7" name="MediaServiceImageTags">
    <vt:lpwstr/>
  </property>
</Properties>
</file>